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BF540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BF540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BF5409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BF5409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B12CC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B12CC8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Hrindová</w:t>
            </w:r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 w:rsidP="003340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3403A" w:rsidRPr="003340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https://www.portalvs.sk/regzam/detail/22704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bookmarkStart w:id="1" w:name="_GoBack"/>
            <w:proofErr w:type="spellStart"/>
            <w:r w:rsidR="003F6C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3F6C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F6C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II.stupeň</w:t>
            </w:r>
            <w:proofErr w:type="spellEnd"/>
            <w:r w:rsidR="003F6C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="003F6CF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.degree</w:t>
            </w:r>
            <w:bookmarkEnd w:id="1"/>
            <w:proofErr w:type="spellEnd"/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BF5409" w:rsidRDefault="00BF5409">
            <w:pPr>
              <w:pStyle w:val="normal"/>
              <w:rPr>
                <w:rFonts w:ascii="Calibri" w:hAnsi="Calibri" w:cs="Calibri"/>
                <w:sz w:val="16"/>
                <w:szCs w:val="16"/>
              </w:rPr>
            </w:pPr>
          </w:p>
          <w:p w:rsidR="00BF5409" w:rsidRPr="00946019" w:rsidRDefault="00946019" w:rsidP="00946019">
            <w:pPr>
              <w:pStyle w:val="normal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Tatiana 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Hrindová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, Monika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Katreniaková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2022.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Demotivačné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faktory vplývajúce na odchod sestier z ošetrovateľskej praxe v Slovenskej republike. Ošetrovateľstvo a pôrodná asistencia [elektronický zdroj] : časopis Slovenskej komory sestier a pôrodných asistentiek :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professional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nursing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midwifery</w:t>
            </w:r>
            <w:proofErr w:type="spellEnd"/>
            <w:r w:rsidRPr="00946019">
              <w:rPr>
                <w:rFonts w:asciiTheme="minorHAnsi" w:hAnsiTheme="minorHAnsi" w:cstheme="minorHAnsi"/>
                <w:color w:val="212529"/>
                <w:sz w:val="16"/>
                <w:szCs w:val="16"/>
                <w:shd w:val="clear" w:color="auto" w:fill="FFFFFF"/>
              </w:rPr>
              <w:t>. - ISSN 1336-183X. - Bratislava : Slovenská komora sestier a pôrodných asistentiek , 2022 . - Roč. [20], č. 2 (2022), 1 elektronický optický disk, s. 62-66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46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12CC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BF5409" w:rsidRDefault="00B12C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946019" w:rsidP="00946019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946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https://arl4.library.sk/arl-sllk/sk/detail-sllk_un_cat-0181107-Demotivacne-faktory-vplyvajuce-na-odchod-sestier-z-osetrovatelskej-praxe-v-Slovenskej-republike/?disprec=1&amp;iset=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9460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Tatiana </w:t>
            </w:r>
            <w:proofErr w:type="spellStart"/>
            <w:r w:rsidRPr="00946019">
              <w:rPr>
                <w:rFonts w:cstheme="minorHAnsi"/>
                <w:sz w:val="16"/>
                <w:szCs w:val="16"/>
              </w:rPr>
              <w:t>Hrindová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, Monika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Katreniaková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.</w:t>
            </w:r>
            <w:r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2022.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Demotivačné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faktory vplývajúce na odchod sestier z ošetrovateľskej praxe v Slovenskej republike. Ošetrovateľstvo a pôrodná asistencia [elektronický zdroj] : časopis Slovenskej komory sestier a pôrodných asistentiek :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professional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journal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of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nursing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midwifery</w:t>
            </w:r>
            <w:proofErr w:type="spellEnd"/>
            <w:r w:rsidRPr="00946019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. - ISSN 1336-183X. - Bratislava : Slovenská komora sestier a pôrodných asistentiek , 2022 . - Roč. [20], č. 2 (2022), 1 elektronický optický disk, s. 62-66 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019" w:rsidRPr="00946019" w:rsidRDefault="00946019" w:rsidP="00946019">
            <w:pPr>
              <w:pStyle w:val="FormtovanvHTML"/>
              <w:shd w:val="clear" w:color="auto" w:fill="F8F9FA"/>
              <w:spacing w:line="300" w:lineRule="atLeast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článok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odbornom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časopise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val="en-US"/>
              </w:rPr>
              <w:t>/</w:t>
            </w:r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article in a professional journal 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946019">
            <w:pPr>
              <w:spacing w:after="0" w:line="240" w:lineRule="auto"/>
              <w:rPr>
                <w:lang w:val="en-US" w:eastAsia="sk-SK"/>
              </w:rPr>
            </w:pPr>
            <w:r w:rsidRPr="0094601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https://arl4.library.sk/arl-sllk/sk/detail-sllk_un_cat-0181107-Demotivacne-faktory-vplyvajuce-na-odchod-sestier-z-osetrovatelskej-praxe-v-Slovenskej-republike/?disprec=1&amp;iset=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AC793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Hrindová</w:t>
            </w:r>
            <w:proofErr w:type="spellEnd"/>
            <w:r w:rsidR="00AC793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50%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 w:rsidR="0094601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Hrindová</w:t>
            </w:r>
            <w:proofErr w:type="spellEnd"/>
            <w:r w:rsidR="0094601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</w:t>
            </w:r>
            <w:r w:rsidR="00AC7939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F5409" w:rsidRDefault="00BF540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BF5409" w:rsidRPr="00946019" w:rsidRDefault="00946019" w:rsidP="0094601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V príspevku predstavujeme výsledky výskumu realizovaného metódou dotazníka v mesiacoch február 2021 a máj 2021. Výber respondentov bol zámerný. Výskumný súbor tvorilo 354 sestier pracujúcich na Slovensku v ústavnej, ambulantnej a sociálnej starostlivosti. Prostredníctvom dotazníka sme zisťovali postoj sestier k tvrdeniam, ktoré faktory vnímajú ako faktory s významným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demotivačným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vplyvom. Výsledky našej práce preukázali, že faktory, ktoré sestry identifikovali ako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demotivujúce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, sú z oblasti medziľudských vzťahov, nevhodnej komunikácie a nedostatočného personálneho zabezpečenia ošetrovateľskej praxe. Vzhľadom na aktuálny a zároveň akútny nedostatok sestier v systéme zdravotnej starostlivosti v SR je nevyhnutné uplatňovanie motivačných faktorov pre sestry v ošetrovateľskej praxi na území SR, ktoré by pomohli zastabilizovať naše sestry v systéme.</w:t>
            </w:r>
            <w:r>
              <w:t xml:space="preserve"> </w:t>
            </w:r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paper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present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survey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carried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using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questionnaire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method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February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2021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May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2021.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selection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respondents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intentional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group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consisted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354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working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Slovakia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institutional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outpatient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Through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questionnaire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found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attitude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statements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perceive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significant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demotivating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effect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showed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identified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demotivating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are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area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interpersonal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relationships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inappropriate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communication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insufficient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staffing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practice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Given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current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acute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shortage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health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Slovak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Republic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necessary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apply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motivational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practice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Slovak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Republic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which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would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help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stabilize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BF5409" w:rsidRDefault="005500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12CC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12CC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Pr="00946019" w:rsidRDefault="00946019" w:rsidP="00946019">
            <w:pPr>
              <w:pStyle w:val="FormtovanvHTML"/>
              <w:shd w:val="clear" w:color="auto" w:fill="F8F9FA"/>
              <w:jc w:val="both"/>
              <w:rPr>
                <w:rFonts w:asciiTheme="minorHAnsi" w:eastAsia="SimSun" w:hAnsiTheme="minorHAnsi" w:cstheme="minorHAnsi"/>
                <w:sz w:val="16"/>
                <w:szCs w:val="16"/>
              </w:rPr>
            </w:pPr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paper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present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survey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carried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using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questionnaire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method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February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2021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May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2021.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selection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respondents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intentional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research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group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consisted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354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working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Slovakia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institutional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outpatient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Through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questionnaire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found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attitude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statements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perceive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with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significant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demotivating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effect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results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showed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that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identified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demotivating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are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area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interpersonal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relationships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inappropriate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communication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insufficient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staffing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practice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Given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current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acute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shortage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of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health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care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Slovak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Republic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it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is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necessary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apply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motivational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factors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for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nursing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practice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Slovak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Republic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which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would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help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stabilize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our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nurses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in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system</w:t>
            </w:r>
            <w:proofErr w:type="spellEnd"/>
            <w:r w:rsidRPr="00946019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F5409" w:rsidRDefault="00B12CC8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019" w:rsidRPr="00946019" w:rsidRDefault="00B12CC8" w:rsidP="0094601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vplyvu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demotivačných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faktorov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odchod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sestier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praxe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SR.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Charakteristiku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oblastí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modifikujú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motiváciu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sestier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výkon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praxe</w:t>
            </w:r>
            <w:proofErr w:type="spellEnd"/>
            <w:r w:rsidR="00946019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 w:rsidR="00946019"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The output focuses on the approximation of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influence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of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demotivating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factors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on </w:t>
            </w:r>
            <w:proofErr w:type="spellStart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</w:t>
            </w:r>
            <w:proofErr w:type="spellEnd"/>
            <w:r w:rsidR="00946019"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departure of nurses from nursing practice in the Slovak Republic. Characteristics of areas that modify the motivation of nurses to perform nursing practice.</w:t>
            </w:r>
          </w:p>
          <w:p w:rsidR="00BF5409" w:rsidRDefault="00BF5409" w:rsidP="0094601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F5409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BF5409" w:rsidRDefault="00B12C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46019" w:rsidRPr="00946019" w:rsidRDefault="00946019" w:rsidP="00946019">
            <w:pPr>
              <w:pStyle w:val="FormtovanvHTML"/>
              <w:shd w:val="clear" w:color="auto" w:fill="F8F9FA"/>
              <w:jc w:val="both"/>
              <w:rPr>
                <w:rFonts w:asciiTheme="minorHAnsi" w:hAnsiTheme="minorHAnsi" w:cstheme="minorHAnsi"/>
                <w:color w:val="202124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výstup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priblíženie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vplyvu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demotivačných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faktorov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odchod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sestier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praxe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SR.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Charakteristiku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oblastí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ktoré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modifikujú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motiváciu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sestier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pre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výkon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ošetrovateľskej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praxe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 /</w:t>
            </w:r>
            <w:r>
              <w:rPr>
                <w:rStyle w:val="Hypertextovodkaz"/>
                <w:rFonts w:ascii="inherit" w:hAnsi="inherit"/>
                <w:color w:val="202124"/>
                <w:sz w:val="23"/>
                <w:szCs w:val="23"/>
              </w:rPr>
              <w:t xml:space="preserve"> </w:t>
            </w:r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The output focuses on the approximation of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influence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of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demotivating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factors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on </w:t>
            </w:r>
            <w:proofErr w:type="spellStart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>the</w:t>
            </w:r>
            <w:proofErr w:type="spellEnd"/>
            <w:r w:rsidRPr="00946019">
              <w:rPr>
                <w:rStyle w:val="y2iqfc"/>
                <w:rFonts w:asciiTheme="minorHAnsi" w:hAnsiTheme="minorHAnsi" w:cstheme="minorHAnsi"/>
                <w:color w:val="202124"/>
                <w:sz w:val="16"/>
                <w:szCs w:val="16"/>
              </w:rPr>
              <w:t xml:space="preserve"> departure of nurses from nursing practice in the Slovak Republic. Characteristics of areas that modify the motivation of nurses to perform nursing practice.</w:t>
            </w:r>
          </w:p>
          <w:p w:rsidR="00BF5409" w:rsidRDefault="00BF5409" w:rsidP="00946019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BF5409" w:rsidRDefault="00BF54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BF5409" w:rsidRDefault="00BF5409"/>
    <w:sectPr w:rsidR="00BF5409" w:rsidSect="00BF54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FED" w:rsidRDefault="005D1FED">
      <w:pPr>
        <w:spacing w:line="240" w:lineRule="auto"/>
      </w:pPr>
      <w:r>
        <w:separator/>
      </w:r>
    </w:p>
  </w:endnote>
  <w:endnote w:type="continuationSeparator" w:id="0">
    <w:p w:rsidR="005D1FED" w:rsidRDefault="005D1FE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FED" w:rsidRDefault="005D1FED">
      <w:pPr>
        <w:spacing w:after="0"/>
      </w:pPr>
      <w:r>
        <w:separator/>
      </w:r>
    </w:p>
  </w:footnote>
  <w:footnote w:type="continuationSeparator" w:id="0">
    <w:p w:rsidR="005D1FED" w:rsidRDefault="005D1FE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</w:compat>
  <w:rsids>
    <w:rsidRoot w:val="00211BB7"/>
    <w:rsid w:val="00190A9C"/>
    <w:rsid w:val="00211BB7"/>
    <w:rsid w:val="0033403A"/>
    <w:rsid w:val="003F6CFC"/>
    <w:rsid w:val="004C0ADE"/>
    <w:rsid w:val="005500C2"/>
    <w:rsid w:val="005D1FED"/>
    <w:rsid w:val="0073261A"/>
    <w:rsid w:val="008C5E5C"/>
    <w:rsid w:val="00946019"/>
    <w:rsid w:val="00AC7939"/>
    <w:rsid w:val="00B12CC8"/>
    <w:rsid w:val="00BF5409"/>
    <w:rsid w:val="00EA4F28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540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rsid w:val="00BF5409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rsid w:val="00BF5409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link w:val="FormtovanvHTMLChar"/>
    <w:uiPriority w:val="99"/>
    <w:unhideWhenUsed/>
    <w:qFormat/>
    <w:rsid w:val="00BF54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sid w:val="00BF5409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sid w:val="00BF5409"/>
    <w:rPr>
      <w:sz w:val="24"/>
      <w:szCs w:val="24"/>
    </w:rPr>
  </w:style>
  <w:style w:type="table" w:styleId="Mkatabulky">
    <w:name w:val="Table Grid"/>
    <w:basedOn w:val="Normlntabulka"/>
    <w:uiPriority w:val="39"/>
    <w:qFormat/>
    <w:rsid w:val="00BF54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"/>
    <w:qFormat/>
    <w:rsid w:val="00BF5409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">
    <w:name w:val="Normálna tabuľka"/>
    <w:semiHidden/>
    <w:qFormat/>
    <w:rsid w:val="00BF5409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BF5409"/>
    <w:rPr>
      <w:sz w:val="24"/>
      <w:szCs w:val="24"/>
      <w:lang w:val="en-US" w:eastAsia="zh-CN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C7939"/>
    <w:rPr>
      <w:rFonts w:ascii="Courier New" w:eastAsia="Times New Roman" w:hAnsi="Courier New" w:cs="Courier New"/>
    </w:rPr>
  </w:style>
  <w:style w:type="character" w:customStyle="1" w:styleId="y2iqfc">
    <w:name w:val="y2iqfc"/>
    <w:basedOn w:val="Standardnpsmoodstavce"/>
    <w:rsid w:val="00AC7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0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1598</Words>
  <Characters>9111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Lenovo</cp:lastModifiedBy>
  <cp:revision>3</cp:revision>
  <dcterms:created xsi:type="dcterms:W3CDTF">2022-05-29T12:03:00Z</dcterms:created>
  <dcterms:modified xsi:type="dcterms:W3CDTF">2022-06-05T13:32:00Z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